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w:t>
      </w:r>
      <w:r>
        <w:rPr>
          <w:rFonts w:hint="default" w:ascii="Times New Roman" w:hAnsi="Times New Roman" w:cs="Times New Roman"/>
          <w:b/>
          <w:bCs/>
          <w:sz w:val="24"/>
          <w:szCs w:val="24"/>
          <w:lang w:val="en-GB"/>
        </w:rPr>
        <w:t>, 2025</w:t>
      </w:r>
    </w:p>
    <w:p w14:paraId="2E45A9B3">
      <w:pPr>
        <w:jc w:val="center"/>
        <w:rPr>
          <w:rFonts w:hint="default" w:ascii="Times New Roman" w:hAnsi="Times New Roman" w:cs="Times New Roman"/>
          <w:b/>
          <w:bCs/>
          <w:color w:val="000000" w:themeColor="text1"/>
          <w:sz w:val="32"/>
          <w:szCs w:val="32"/>
          <w:lang w:val="en-GB"/>
          <w14:textFill>
            <w14:solidFill>
              <w14:schemeClr w14:val="tx1"/>
            </w14:solidFill>
          </w14:textFill>
        </w:rPr>
      </w:pPr>
    </w:p>
    <w:p w14:paraId="0AF47318">
      <w:pPr>
        <w:spacing w:before="0" w:after="0" w:line="240" w:lineRule="auto"/>
        <w:ind w:left="0" w:right="0"/>
        <w:jc w:val="center"/>
        <w:rPr>
          <w:rFonts w:hint="default" w:ascii="Times New Roman" w:hAnsi="Times New Roman" w:cs="Times New Roman"/>
          <w:sz w:val="32"/>
          <w:szCs w:val="32"/>
        </w:rPr>
      </w:pPr>
      <w:bookmarkStart w:id="0" w:name="_GoBack"/>
      <w:r>
        <w:rPr>
          <w:rFonts w:hint="default" w:ascii="Times New Roman" w:hAnsi="Times New Roman" w:eastAsia="Arial" w:cs="Times New Roman"/>
          <w:b/>
          <w:color w:val="252525"/>
          <w:sz w:val="32"/>
          <w:szCs w:val="32"/>
        </w:rPr>
        <w:t>Horticulture Department Distributes Agricultural Inputs Under Vibrant Village Programme in Tawang</w:t>
      </w:r>
      <w:bookmarkEnd w:id="0"/>
    </w:p>
    <w:p w14:paraId="35692F1A">
      <w:pPr>
        <w:jc w:val="center"/>
        <w:rPr>
          <w:rFonts w:hint="default" w:ascii="Times New Roman" w:hAnsi="Times New Roman" w:eastAsia="SimSun" w:cs="Times New Roman"/>
          <w:b/>
          <w:bCs/>
          <w:i w:val="0"/>
          <w:iCs w:val="0"/>
          <w:color w:val="000000" w:themeColor="text1"/>
          <w:sz w:val="32"/>
          <w:szCs w:val="32"/>
          <w14:textFill>
            <w14:solidFill>
              <w14:schemeClr w14:val="tx1"/>
            </w14:solidFill>
          </w14:textFill>
        </w:rPr>
      </w:pPr>
    </w:p>
    <w:p w14:paraId="333F3926">
      <w:pPr>
        <w:spacing w:line="360" w:lineRule="auto"/>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5689600" cy="3202940"/>
            <wp:effectExtent l="0" t="0" r="10160" b="12700"/>
            <wp:docPr id="19" name="Picture 19" descr="100013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1000134460"/>
                    <pic:cNvPicPr>
                      <a:picLocks noChangeAspect="1"/>
                    </pic:cNvPicPr>
                  </pic:nvPicPr>
                  <pic:blipFill>
                    <a:blip r:embed="rId5"/>
                    <a:stretch>
                      <a:fillRect/>
                    </a:stretch>
                  </pic:blipFill>
                  <pic:spPr>
                    <a:xfrm>
                      <a:off x="0" y="0"/>
                      <a:ext cx="5689600" cy="3202940"/>
                    </a:xfrm>
                    <a:prstGeom prst="rect">
                      <a:avLst/>
                    </a:prstGeom>
                  </pic:spPr>
                </pic:pic>
              </a:graphicData>
            </a:graphic>
          </wp:inline>
        </w:drawing>
      </w:r>
    </w:p>
    <w:p w14:paraId="3DDA5C9F">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b/>
          <w:color w:val="252525"/>
          <w:sz w:val="28"/>
          <w:szCs w:val="28"/>
        </w:rPr>
        <w:t>Tawang</w:t>
      </w:r>
      <w:r>
        <w:rPr>
          <w:rFonts w:hint="default" w:ascii="Times New Roman" w:hAnsi="Times New Roman" w:eastAsia="Arial" w:cs="Times New Roman"/>
          <w:b/>
          <w:color w:val="252525"/>
          <w:sz w:val="28"/>
          <w:szCs w:val="28"/>
          <w:lang w:val="en-IN"/>
        </w:rPr>
        <w:t xml:space="preserve">, </w:t>
      </w:r>
      <w:r>
        <w:rPr>
          <w:rFonts w:hint="default" w:ascii="Times New Roman" w:hAnsi="Times New Roman" w:eastAsia="Arial" w:cs="Times New Roman"/>
          <w:b/>
          <w:color w:val="252525"/>
          <w:sz w:val="28"/>
          <w:szCs w:val="28"/>
        </w:rPr>
        <w:t xml:space="preserve">02/08/2025 : </w:t>
      </w:r>
      <w:r>
        <w:rPr>
          <w:rFonts w:hint="default" w:ascii="Times New Roman" w:hAnsi="Times New Roman" w:eastAsia="Arial" w:cs="Times New Roman"/>
          <w:color w:val="252525"/>
          <w:sz w:val="28"/>
          <w:szCs w:val="28"/>
        </w:rPr>
        <w:t xml:space="preserve">The Department of Horticulture, Tawang, today organized an Horticultural input distribution programme under the </w:t>
      </w:r>
      <w:r>
        <w:rPr>
          <w:rFonts w:hint="default" w:ascii="Times New Roman" w:hAnsi="Times New Roman" w:eastAsia="Arial" w:cs="Times New Roman"/>
          <w:b/>
          <w:color w:val="252525"/>
          <w:sz w:val="28"/>
          <w:szCs w:val="28"/>
        </w:rPr>
        <w:t>Vibrant Village Programme (VVP)</w:t>
      </w:r>
      <w:r>
        <w:rPr>
          <w:rFonts w:hint="default" w:ascii="Times New Roman" w:hAnsi="Times New Roman" w:eastAsia="Arial" w:cs="Times New Roman"/>
          <w:color w:val="252525"/>
          <w:sz w:val="28"/>
          <w:szCs w:val="28"/>
        </w:rPr>
        <w:t xml:space="preserve"> for three villages under the Pamakhar Circle of Lungla Sub-Division. The event took place at the DHO Office, Tawang, and was attended by 24 beneficiaries from the identified villages.</w:t>
      </w:r>
    </w:p>
    <w:p w14:paraId="20D4F187">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Each beneficiary were given hybrid vegetable seeds Kit comprising of 12 different vegetables,  organic Plant Protection chemical Kits, 25 kg of organic manure and one knapsack sprayer aimed at promoting vegtable cultivation in the border villages organic and sustainable farming practices in border areas.</w:t>
      </w:r>
    </w:p>
    <w:p w14:paraId="24ACD484">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programme was graced by </w:t>
      </w:r>
      <w:r>
        <w:rPr>
          <w:rFonts w:hint="default" w:ascii="Times New Roman" w:hAnsi="Times New Roman" w:eastAsia="Arial" w:cs="Times New Roman"/>
          <w:b/>
          <w:color w:val="252525"/>
          <w:sz w:val="28"/>
          <w:szCs w:val="28"/>
        </w:rPr>
        <w:t xml:space="preserve">Assistant </w:t>
      </w:r>
    </w:p>
    <w:p w14:paraId="0F21C7F6">
      <w:pPr>
        <w:pageBreakBefore/>
        <w:spacing w:before="0" w:after="0" w:line="360" w:lineRule="auto"/>
        <w:ind w:left="0" w:right="0"/>
        <w:jc w:val="both"/>
        <w:rPr>
          <w:rFonts w:hint="default" w:ascii="Times New Roman" w:hAnsi="Times New Roman" w:cs="Times New Roman"/>
          <w:sz w:val="28"/>
          <w:szCs w:val="28"/>
        </w:rPr>
      </w:pPr>
    </w:p>
    <w:p w14:paraId="599FE829">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b/>
          <w:color w:val="252525"/>
          <w:sz w:val="28"/>
          <w:szCs w:val="28"/>
        </w:rPr>
        <w:t>Commissioner Tawang, Tenzin Jambey</w:t>
      </w:r>
      <w:r>
        <w:rPr>
          <w:rFonts w:hint="default" w:ascii="Times New Roman" w:hAnsi="Times New Roman" w:eastAsia="Arial" w:cs="Times New Roman"/>
          <w:color w:val="252525"/>
          <w:sz w:val="28"/>
          <w:szCs w:val="28"/>
        </w:rPr>
        <w:t xml:space="preserve">, along with </w:t>
      </w:r>
      <w:r>
        <w:rPr>
          <w:rFonts w:hint="default" w:ascii="Times New Roman" w:hAnsi="Times New Roman" w:eastAsia="Arial" w:cs="Times New Roman"/>
          <w:b/>
          <w:color w:val="252525"/>
          <w:sz w:val="28"/>
          <w:szCs w:val="28"/>
        </w:rPr>
        <w:t>District Horticulture Officer (DHO) Safior Rahman</w:t>
      </w: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color w:val="252525"/>
          <w:sz w:val="28"/>
          <w:szCs w:val="28"/>
        </w:rPr>
        <w:t>Sub-Divisional Horticulture Officer (SDHO) Lungla, Koncho Gyatso</w:t>
      </w:r>
      <w:r>
        <w:rPr>
          <w:rFonts w:hint="default" w:ascii="Times New Roman" w:hAnsi="Times New Roman" w:eastAsia="Arial" w:cs="Times New Roman"/>
          <w:color w:val="252525"/>
          <w:sz w:val="28"/>
          <w:szCs w:val="28"/>
        </w:rPr>
        <w:t>, and other officials from the Horticulture Department.</w:t>
      </w:r>
    </w:p>
    <w:p w14:paraId="756585B0">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In his address, AC Tenzin Jambey elaborated on the </w:t>
      </w:r>
      <w:r>
        <w:rPr>
          <w:rFonts w:hint="default" w:ascii="Times New Roman" w:hAnsi="Times New Roman" w:eastAsia="Arial" w:cs="Times New Roman"/>
          <w:b/>
          <w:color w:val="252525"/>
          <w:sz w:val="28"/>
          <w:szCs w:val="28"/>
        </w:rPr>
        <w:t>Vibrant Village Programme</w:t>
      </w:r>
      <w:r>
        <w:rPr>
          <w:rFonts w:hint="default" w:ascii="Times New Roman" w:hAnsi="Times New Roman" w:eastAsia="Arial" w:cs="Times New Roman"/>
          <w:color w:val="252525"/>
          <w:sz w:val="28"/>
          <w:szCs w:val="28"/>
        </w:rPr>
        <w:t>, which has replaced the erstwhile Border Area Development Programme (BADP). He emphasized that the VVP is a comprehensive government initiative implemented through various departments and agencies, including central paramilitary and security forces, to ensure sustainable livelihood and all-round development of border villages. He urged the villagers to adopt organic farming methods to promote health, sustainability, and long-term soil fertility.</w:t>
      </w:r>
    </w:p>
    <w:p w14:paraId="1292CC28">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DHO Safior Rahman provided practical guidance to the farmers on the appropriate use of organic inputs such as pesticides, manure, and fertilizers, highlighting their role in improving crop yield and managing plant diseases effectively.</w:t>
      </w:r>
    </w:p>
    <w:p w14:paraId="189A0134">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SDHO Koncho Gyatso stressed the significance of organic farming in promoting eco-friendly agriculture. He informed that the beneficiary villages under the programme were identified by the central government across five blocks of Tawang. The selection of individual beneficiaries was done in coordination with local panchayats and Gaon Burahs. He further mentioned that the </w:t>
      </w:r>
      <w:r>
        <w:rPr>
          <w:rFonts w:hint="default" w:ascii="Times New Roman" w:hAnsi="Times New Roman" w:eastAsia="Arial" w:cs="Times New Roman"/>
          <w:b/>
          <w:color w:val="252525"/>
          <w:sz w:val="28"/>
          <w:szCs w:val="28"/>
        </w:rPr>
        <w:t>Jang Thingbu block has already been covered</w:t>
      </w:r>
      <w:r>
        <w:rPr>
          <w:rFonts w:hint="default" w:ascii="Times New Roman" w:hAnsi="Times New Roman" w:eastAsia="Arial" w:cs="Times New Roman"/>
          <w:color w:val="252525"/>
          <w:sz w:val="28"/>
          <w:szCs w:val="28"/>
        </w:rPr>
        <w:t>, and inputs will soon be distributed to the remaining identified beneficiaries.</w:t>
      </w:r>
    </w:p>
    <w:p w14:paraId="55DE2335">
      <w:pPr>
        <w:spacing w:line="360" w:lineRule="auto"/>
        <w:jc w:val="both"/>
        <w:rPr>
          <w:rFonts w:hint="default" w:ascii="Times New Roman" w:hAnsi="Times New Roman" w:eastAsia="Arial" w:cs="Times New Roman"/>
          <w:color w:val="252525"/>
          <w:sz w:val="28"/>
          <w:szCs w:val="28"/>
          <w:lang w:val="en-IN"/>
        </w:rPr>
      </w:pPr>
      <w:r>
        <w:rPr>
          <w:rFonts w:hint="default" w:ascii="Times New Roman" w:hAnsi="Times New Roman" w:eastAsia="Arial" w:cs="Times New Roman"/>
          <w:color w:val="252525"/>
          <w:sz w:val="28"/>
          <w:szCs w:val="28"/>
        </w:rPr>
        <w:t>SDHO Gyatso also extended his heartfelt gratitude to AC Tenzin Jambey and all stakeholders for their active participation and support in making the event a success.</w:t>
      </w:r>
      <w:r>
        <w:rPr>
          <w:rFonts w:hint="default" w:ascii="Times New Roman" w:hAnsi="Times New Roman" w:eastAsia="Arial" w:cs="Times New Roman"/>
          <w:color w:val="252525"/>
          <w:sz w:val="28"/>
          <w:szCs w:val="28"/>
          <w:lang w:val="en-IN"/>
        </w:rPr>
        <w:t xml:space="preserve">   </w:t>
      </w:r>
    </w:p>
    <w:p w14:paraId="7DA7D342">
      <w:pPr>
        <w:spacing w:line="360" w:lineRule="auto"/>
        <w:jc w:val="both"/>
        <w:rPr>
          <w:rFonts w:hint="default" w:ascii="Times New Roman" w:hAnsi="Times New Roman" w:eastAsia="Arial" w:cs="Times New Roman"/>
          <w:color w:val="252525"/>
          <w:sz w:val="28"/>
          <w:szCs w:val="28"/>
          <w:lang w:val="en-IN"/>
        </w:rPr>
      </w:pPr>
      <w:r>
        <w:rPr>
          <w:rFonts w:hint="default" w:ascii="Times New Roman" w:hAnsi="Times New Roman" w:eastAsia="Arial" w:cs="Times New Roman"/>
          <w:color w:val="252525"/>
          <w:sz w:val="28"/>
          <w:szCs w:val="28"/>
          <w:lang w:val="en-IN"/>
        </w:rPr>
        <w:drawing>
          <wp:inline distT="0" distB="0" distL="114300" distR="114300">
            <wp:extent cx="2959735" cy="1666240"/>
            <wp:effectExtent l="0" t="0" r="12065" b="10160"/>
            <wp:docPr id="21" name="Picture 21" descr="100013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1000134429"/>
                    <pic:cNvPicPr>
                      <a:picLocks noChangeAspect="1"/>
                    </pic:cNvPicPr>
                  </pic:nvPicPr>
                  <pic:blipFill>
                    <a:blip r:embed="rId6"/>
                    <a:stretch>
                      <a:fillRect/>
                    </a:stretch>
                  </pic:blipFill>
                  <pic:spPr>
                    <a:xfrm>
                      <a:off x="0" y="0"/>
                      <a:ext cx="2959735" cy="1666240"/>
                    </a:xfrm>
                    <a:prstGeom prst="rect">
                      <a:avLst/>
                    </a:prstGeom>
                  </pic:spPr>
                </pic:pic>
              </a:graphicData>
            </a:graphic>
          </wp:inline>
        </w:drawing>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lang w:val="en-IN"/>
        </w:rPr>
        <w:drawing>
          <wp:inline distT="0" distB="0" distL="114300" distR="114300">
            <wp:extent cx="4286885" cy="2413000"/>
            <wp:effectExtent l="0" t="0" r="10795" b="10160"/>
            <wp:docPr id="20" name="Picture 20" descr="100013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1000134439"/>
                    <pic:cNvPicPr>
                      <a:picLocks noChangeAspect="1"/>
                    </pic:cNvPicPr>
                  </pic:nvPicPr>
                  <pic:blipFill>
                    <a:blip r:embed="rId7"/>
                    <a:stretch>
                      <a:fillRect/>
                    </a:stretch>
                  </pic:blipFill>
                  <pic:spPr>
                    <a:xfrm>
                      <a:off x="0" y="0"/>
                      <a:ext cx="4286885" cy="241300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37B5342"/>
    <w:rsid w:val="14CE3D87"/>
    <w:rsid w:val="1EA3183C"/>
    <w:rsid w:val="215B63C6"/>
    <w:rsid w:val="21D50274"/>
    <w:rsid w:val="2B1F599B"/>
    <w:rsid w:val="2E6423A3"/>
    <w:rsid w:val="38922D5C"/>
    <w:rsid w:val="3998384E"/>
    <w:rsid w:val="3F446058"/>
    <w:rsid w:val="41A75842"/>
    <w:rsid w:val="447077AD"/>
    <w:rsid w:val="46115CF7"/>
    <w:rsid w:val="4D5C273D"/>
    <w:rsid w:val="4EB15BC3"/>
    <w:rsid w:val="551C06EB"/>
    <w:rsid w:val="59723AB8"/>
    <w:rsid w:val="5BF736EF"/>
    <w:rsid w:val="66B7527F"/>
    <w:rsid w:val="6BA03539"/>
    <w:rsid w:val="6E4618B1"/>
    <w:rsid w:val="70373EF0"/>
    <w:rsid w:val="777C611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2025-08-04T07:17:08Z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B6937BEFB08C418D8C3587EDC764D169_13</vt:lpwstr>
  </property>
</Properties>
</file>