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4"/>
          <w:szCs w:val="24"/>
          <w:lang w:val="en-GB"/>
        </w:rPr>
        <w:t xml:space="preserve">Dated </w:t>
      </w:r>
      <w:r>
        <w:rPr>
          <w:rFonts w:hint="default" w:ascii="Times New Roman" w:hAnsi="Times New Roman" w:cs="Times New Roman"/>
          <w:b/>
          <w:bCs/>
          <w:sz w:val="24"/>
          <w:szCs w:val="24"/>
          <w:lang w:val="en-IN"/>
        </w:rPr>
        <w:t>July</w:t>
      </w:r>
      <w:r>
        <w:rPr>
          <w:rFonts w:hint="default" w:ascii="Times New Roman" w:hAnsi="Times New Roman" w:cs="Times New Roman"/>
          <w:b/>
          <w:bCs/>
          <w:sz w:val="24"/>
          <w:szCs w:val="24"/>
          <w:lang w:val="en-GB"/>
        </w:rPr>
        <w:t xml:space="preserve"> </w:t>
      </w:r>
      <w:r>
        <w:rPr>
          <w:rFonts w:hint="default" w:ascii="Times New Roman" w:hAnsi="Times New Roman" w:cs="Times New Roman"/>
          <w:b/>
          <w:bCs/>
          <w:sz w:val="24"/>
          <w:szCs w:val="24"/>
          <w:lang w:val="en-IN"/>
        </w:rPr>
        <w:t>29</w:t>
      </w:r>
      <w:r>
        <w:rPr>
          <w:rFonts w:hint="default" w:ascii="Times New Roman" w:hAnsi="Times New Roman" w:cs="Times New Roman"/>
          <w:b/>
          <w:bCs/>
          <w:sz w:val="24"/>
          <w:szCs w:val="24"/>
          <w:lang w:val="en-GB"/>
        </w:rPr>
        <w:t>, 2025</w:t>
      </w:r>
    </w:p>
    <w:p w14:paraId="2E45A9B3">
      <w:pPr>
        <w:jc w:val="right"/>
        <w:rPr>
          <w:rFonts w:hint="default" w:ascii="Times New Roman" w:hAnsi="Times New Roman" w:cs="Times New Roman"/>
          <w:b/>
          <w:bCs/>
          <w:sz w:val="28"/>
          <w:szCs w:val="28"/>
          <w:lang w:val="en-GB"/>
        </w:rPr>
      </w:pPr>
    </w:p>
    <w:p w14:paraId="4C0962CC">
      <w:pPr>
        <w:spacing w:before="0" w:after="0" w:line="240" w:lineRule="auto"/>
        <w:ind w:left="0" w:right="0"/>
        <w:jc w:val="center"/>
        <w:rPr>
          <w:rFonts w:hint="default" w:ascii="Times New Roman" w:hAnsi="Times New Roman" w:cs="Times New Roman"/>
          <w:b/>
          <w:bCs/>
          <w:sz w:val="32"/>
          <w:szCs w:val="32"/>
        </w:rPr>
      </w:pPr>
      <w:r>
        <w:rPr>
          <w:rFonts w:hint="default" w:ascii="Times New Roman" w:hAnsi="Times New Roman" w:eastAsia="SimSun" w:cs="Times New Roman"/>
          <w:b/>
          <w:bCs/>
          <w:sz w:val="32"/>
          <w:szCs w:val="32"/>
        </w:rPr>
        <w:t>Successful Earthquake Preparedness Drill Conducted in Tawang</w:t>
      </w:r>
    </w:p>
    <w:p w14:paraId="29F384D7">
      <w:pPr>
        <w:jc w:val="both"/>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689600" cy="3202940"/>
            <wp:effectExtent l="0" t="0" r="10160" b="12700"/>
            <wp:docPr id="1" name="Picture 1" descr="100013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00131587"/>
                    <pic:cNvPicPr>
                      <a:picLocks noChangeAspect="1"/>
                    </pic:cNvPicPr>
                  </pic:nvPicPr>
                  <pic:blipFill>
                    <a:blip r:embed="rId5"/>
                    <a:stretch>
                      <a:fillRect/>
                    </a:stretch>
                  </pic:blipFill>
                  <pic:spPr>
                    <a:xfrm>
                      <a:off x="0" y="0"/>
                      <a:ext cx="5689600" cy="320294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74212A7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Mock Exercise cum Awareness Programme Raises Community Readiness</w:t>
      </w:r>
    </w:p>
    <w:p w14:paraId="45708FA1">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Style w:val="11"/>
          <w:rFonts w:hint="default" w:ascii="Times New Roman" w:hAnsi="Times New Roman" w:cs="Times New Roman"/>
          <w:sz w:val="28"/>
          <w:szCs w:val="28"/>
        </w:rPr>
        <w:t>Tawang</w:t>
      </w:r>
      <w:r>
        <w:rPr>
          <w:rFonts w:hint="default" w:ascii="Times New Roman" w:hAnsi="Times New Roman" w:cs="Times New Roman"/>
          <w:sz w:val="28"/>
          <w:szCs w:val="28"/>
        </w:rPr>
        <w:t xml:space="preserve"> | </w:t>
      </w:r>
      <w:r>
        <w:rPr>
          <w:rStyle w:val="11"/>
          <w:rFonts w:hint="default" w:ascii="Times New Roman" w:hAnsi="Times New Roman" w:cs="Times New Roman"/>
          <w:sz w:val="28"/>
          <w:szCs w:val="28"/>
        </w:rPr>
        <w:t>July 29, 2025</w:t>
      </w:r>
    </w:p>
    <w:p w14:paraId="64C6ECD4">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A comprehensive Mock Exercise cum Awareness Programme on earthquake preparedness was successfully conducted today near the Walk-Through Market, Tawang. The event was jointly organized by the State Disaster Response Force (SDRF) and Fire &amp; Emergency Services Itanagar, under the aegis of the Department of Disaster Management, Government of Arunachal Pradesh.</w:t>
      </w:r>
    </w:p>
    <w:p w14:paraId="05641E8B">
      <w:pPr>
        <w:pStyle w:val="3"/>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Key Participants</w:t>
      </w:r>
    </w:p>
    <w:p w14:paraId="6DEF8E92">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The programme witnessed enthusiastic participation from key officials and stakeholders, including:</w:t>
      </w:r>
    </w:p>
    <w:p w14:paraId="0BBB6C89">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1"/>
          <w:rFonts w:hint="default" w:ascii="Times New Roman" w:hAnsi="Times New Roman" w:cs="Times New Roman"/>
          <w:sz w:val="28"/>
          <w:szCs w:val="28"/>
        </w:rPr>
        <w:t>Deputy Commissioner Tawang</w:t>
      </w:r>
      <w:r>
        <w:rPr>
          <w:rFonts w:hint="default" w:ascii="Times New Roman" w:hAnsi="Times New Roman" w:cs="Times New Roman"/>
          <w:sz w:val="28"/>
          <w:szCs w:val="28"/>
        </w:rPr>
        <w:t>: Namgyal Angmo, IAS</w:t>
      </w:r>
    </w:p>
    <w:p w14:paraId="3949C367">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1"/>
          <w:rFonts w:hint="default" w:ascii="Times New Roman" w:hAnsi="Times New Roman" w:cs="Times New Roman"/>
          <w:sz w:val="28"/>
          <w:szCs w:val="28"/>
        </w:rPr>
        <w:t>Superintendent of Police</w:t>
      </w:r>
      <w:r>
        <w:rPr>
          <w:rFonts w:hint="default" w:ascii="Times New Roman" w:hAnsi="Times New Roman" w:cs="Times New Roman"/>
          <w:sz w:val="28"/>
          <w:szCs w:val="28"/>
        </w:rPr>
        <w:t>: Dr. D.W. Thongon</w:t>
      </w:r>
    </w:p>
    <w:p w14:paraId="65713AE2">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Style w:val="11"/>
          <w:rFonts w:hint="default" w:ascii="Times New Roman" w:hAnsi="Times New Roman" w:cs="Times New Roman"/>
          <w:sz w:val="28"/>
          <w:szCs w:val="28"/>
        </w:rPr>
        <w:t>SP SDRF &amp; Fire Services</w:t>
      </w:r>
      <w:r>
        <w:rPr>
          <w:rFonts w:hint="default" w:ascii="Times New Roman" w:hAnsi="Times New Roman" w:cs="Times New Roman"/>
          <w:sz w:val="28"/>
          <w:szCs w:val="28"/>
        </w:rPr>
        <w:t>: John Pada</w:t>
      </w:r>
    </w:p>
    <w:p w14:paraId="7D8D8EF0">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Heads of Offices</w:t>
      </w:r>
    </w:p>
    <w:p w14:paraId="4AB75CE8">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Bazar Welfare Committee</w:t>
      </w:r>
    </w:p>
    <w:p w14:paraId="367BC8B0">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NCC, NSS, SSB personnel</w:t>
      </w:r>
    </w:p>
    <w:p w14:paraId="4E9C536A">
      <w:pPr>
        <w:keepNext w:val="0"/>
        <w:keepLines w:val="0"/>
        <w:widowControl/>
        <w:numPr>
          <w:ilvl w:val="0"/>
          <w:numId w:val="1"/>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Students and members of the general public</w:t>
      </w:r>
    </w:p>
    <w:p w14:paraId="30351DDA">
      <w:pPr>
        <w:pStyle w:val="3"/>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Official Statements</w:t>
      </w:r>
    </w:p>
    <w:p w14:paraId="360AC563">
      <w:pPr>
        <w:pStyle w:val="4"/>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Deputy Commissioner's Address</w:t>
      </w:r>
    </w:p>
    <w:p w14:paraId="02954DF1">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 xml:space="preserve">In her address, DC Namgyal Angmo emphasized the critical importance of disaster preparedness, noting that Arunachal Pradesh lies in </w:t>
      </w:r>
      <w:r>
        <w:rPr>
          <w:rStyle w:val="11"/>
          <w:rFonts w:hint="default" w:ascii="Times New Roman" w:hAnsi="Times New Roman" w:cs="Times New Roman"/>
          <w:sz w:val="28"/>
          <w:szCs w:val="28"/>
        </w:rPr>
        <w:t>Seismic Zone V</w:t>
      </w:r>
      <w:r>
        <w:rPr>
          <w:rFonts w:hint="default" w:ascii="Times New Roman" w:hAnsi="Times New Roman" w:cs="Times New Roman"/>
          <w:sz w:val="28"/>
          <w:szCs w:val="28"/>
        </w:rPr>
        <w:t>, one of the most earthquake-prone areas in the country.</w:t>
      </w:r>
    </w:p>
    <w:p w14:paraId="3E45F13C">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Style w:val="7"/>
          <w:rFonts w:hint="default" w:ascii="Times New Roman" w:hAnsi="Times New Roman" w:cs="Times New Roman"/>
          <w:sz w:val="28"/>
          <w:szCs w:val="28"/>
        </w:rPr>
        <w:t>"There is no warning system for earthquakes – they strike suddenly and can cause immense destruction. However, preparedness can significantly reduce the damage and loss of life,"</w:t>
      </w:r>
      <w:r>
        <w:rPr>
          <w:rFonts w:hint="default" w:ascii="Times New Roman" w:hAnsi="Times New Roman" w:cs="Times New Roman"/>
          <w:sz w:val="28"/>
          <w:szCs w:val="28"/>
        </w:rPr>
        <w:t xml:space="preserve"> she stated, urging the public to attentively observe the mock drill and internalize the safety protocols demonstrated.</w:t>
      </w:r>
    </w:p>
    <w:p w14:paraId="52FDF011">
      <w:pPr>
        <w:pStyle w:val="4"/>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Superintendent of Police's Remarks</w:t>
      </w:r>
    </w:p>
    <w:p w14:paraId="6080CA47">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SP Tawang Dr. D.W. Thongon echoed the sentiment, encouraging all attendees to memorize the emergency response techniques and safety measures demonstrated during the exercise.</w:t>
      </w:r>
    </w:p>
    <w:p w14:paraId="62BE24B6">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Style w:val="7"/>
          <w:rFonts w:hint="default" w:ascii="Times New Roman" w:hAnsi="Times New Roman" w:cs="Times New Roman"/>
          <w:sz w:val="28"/>
          <w:szCs w:val="28"/>
        </w:rPr>
        <w:t>"Learning these techniques today could help save lives tomorrow,"</w:t>
      </w:r>
      <w:r>
        <w:rPr>
          <w:rFonts w:hint="default" w:ascii="Times New Roman" w:hAnsi="Times New Roman" w:cs="Times New Roman"/>
          <w:sz w:val="28"/>
          <w:szCs w:val="28"/>
        </w:rPr>
        <w:t xml:space="preserve"> he remarked.</w:t>
      </w:r>
    </w:p>
    <w:p w14:paraId="554139DF">
      <w:pPr>
        <w:pStyle w:val="4"/>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SDRF Officer's Insights</w:t>
      </w:r>
    </w:p>
    <w:p w14:paraId="2EDBF4C7">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Welcoming participants to the event, SP cum Nodal Officer SDRF &amp; Fire Services, John Pada, shared insights into the role of SDRF during emergencies and stressed the importance of community response in the initial moments of a disaster.</w:t>
      </w:r>
    </w:p>
    <w:p w14:paraId="37693FAD">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Style w:val="7"/>
          <w:rFonts w:hint="default" w:ascii="Times New Roman" w:hAnsi="Times New Roman" w:cs="Times New Roman"/>
          <w:sz w:val="28"/>
          <w:szCs w:val="28"/>
        </w:rPr>
        <w:t>"While trained forces like SDRF are vital, the first and most critical response often comes from the people themselves. This is why awareness and preparedness at the grassroots level is essential,"</w:t>
      </w:r>
      <w:r>
        <w:rPr>
          <w:rFonts w:hint="default" w:ascii="Times New Roman" w:hAnsi="Times New Roman" w:cs="Times New Roman"/>
          <w:sz w:val="28"/>
          <w:szCs w:val="28"/>
        </w:rPr>
        <w:t xml:space="preserve"> he said.</w:t>
      </w:r>
    </w:p>
    <w:p w14:paraId="2CFE3694">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He also extended gratitude to the SSB, NCC, NSS volunteers, and Bazar Welfare Committees for their active involvement in the programme.</w:t>
      </w:r>
    </w:p>
    <w:p w14:paraId="7E3BE723">
      <w:pPr>
        <w:pStyle w:val="3"/>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Programme Highlights</w:t>
      </w:r>
    </w:p>
    <w:p w14:paraId="1FD6218C">
      <w:pPr>
        <w:pStyle w:val="4"/>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Mock Exercise Demonstrations</w:t>
      </w:r>
    </w:p>
    <w:p w14:paraId="19F51B42">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Following the formal programme, a live mock exercise was carried out by SDRF personnel, demonstrating:</w:t>
      </w:r>
    </w:p>
    <w:p w14:paraId="2B92B9D1">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Key rescue operations</w:t>
      </w:r>
    </w:p>
    <w:p w14:paraId="42023D20">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Evacuation drills</w:t>
      </w:r>
    </w:p>
    <w:p w14:paraId="24192769">
      <w:pPr>
        <w:keepNext w:val="0"/>
        <w:keepLines w:val="0"/>
        <w:widowControl/>
        <w:numPr>
          <w:ilvl w:val="0"/>
          <w:numId w:val="2"/>
        </w:numPr>
        <w:suppressLineNumbers w:val="0"/>
        <w:spacing w:before="0" w:beforeAutospacing="1" w:after="0" w:afterAutospacing="1" w:line="360" w:lineRule="auto"/>
        <w:ind w:left="720" w:hanging="360"/>
        <w:jc w:val="both"/>
        <w:rPr>
          <w:rFonts w:hint="default" w:ascii="Times New Roman" w:hAnsi="Times New Roman" w:cs="Times New Roman"/>
          <w:sz w:val="28"/>
          <w:szCs w:val="28"/>
        </w:rPr>
      </w:pPr>
      <w:r>
        <w:rPr>
          <w:rFonts w:hint="default" w:ascii="Times New Roman" w:hAnsi="Times New Roman" w:cs="Times New Roman"/>
          <w:sz w:val="28"/>
          <w:szCs w:val="28"/>
        </w:rPr>
        <w:t>Fire safety techniques</w:t>
      </w:r>
    </w:p>
    <w:p w14:paraId="417CAEDE">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Fire &amp; Emergency Services, Tawang, showcased the proper use of extinguishers and emergency response methods.</w:t>
      </w:r>
    </w:p>
    <w:p w14:paraId="331E802A">
      <w:pPr>
        <w:pStyle w:val="4"/>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Community Participation</w:t>
      </w:r>
    </w:p>
    <w:p w14:paraId="30EC7EB0">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Volunteers from SSB, NCC, and NSS of Higher Secondary School Tawang and Town Secondary School Tawang played a crucial role in the enactments, exemplifying community participation in disaster response.</w:t>
      </w:r>
    </w:p>
    <w:p w14:paraId="270E358D">
      <w:pPr>
        <w:pStyle w:val="4"/>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Safety Infrastructure Enhancement</w:t>
      </w:r>
    </w:p>
    <w:p w14:paraId="63070B42">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 xml:space="preserve">In a noteworthy gesture to boost local safety infrastructure, </w:t>
      </w:r>
      <w:r>
        <w:rPr>
          <w:rStyle w:val="11"/>
          <w:rFonts w:hint="default" w:ascii="Times New Roman" w:hAnsi="Times New Roman" w:cs="Times New Roman"/>
          <w:sz w:val="28"/>
          <w:szCs w:val="28"/>
        </w:rPr>
        <w:t>three fire extinguishers each</w:t>
      </w:r>
      <w:r>
        <w:rPr>
          <w:rFonts w:hint="default" w:ascii="Times New Roman" w:hAnsi="Times New Roman" w:cs="Times New Roman"/>
          <w:sz w:val="28"/>
          <w:szCs w:val="28"/>
        </w:rPr>
        <w:t xml:space="preserve"> were distributed to the three Bazar Welfare Committees by Fire &amp; Emergency Services, Itanagar, to enhance local emergency response capabilities.</w:t>
      </w:r>
    </w:p>
    <w:p w14:paraId="0E8C6CFF">
      <w:pPr>
        <w:pStyle w:val="3"/>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Future Initiatives</w:t>
      </w:r>
    </w:p>
    <w:p w14:paraId="1AD3AD96">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cs="Times New Roman"/>
          <w:sz w:val="28"/>
          <w:szCs w:val="28"/>
        </w:rPr>
      </w:pPr>
      <w:r>
        <w:rPr>
          <w:rFonts w:hint="default" w:ascii="Times New Roman" w:hAnsi="Times New Roman" w:cs="Times New Roman"/>
          <w:sz w:val="28"/>
          <w:szCs w:val="28"/>
        </w:rPr>
        <w:t xml:space="preserve">The event concluded with District Disaster Management Officer (DDMO), Tawang, </w:t>
      </w:r>
      <w:r>
        <w:rPr>
          <w:rStyle w:val="11"/>
          <w:rFonts w:hint="default" w:ascii="Times New Roman" w:hAnsi="Times New Roman" w:cs="Times New Roman"/>
          <w:sz w:val="28"/>
          <w:szCs w:val="28"/>
        </w:rPr>
        <w:t>Genden Tsomu</w:t>
      </w:r>
      <w:r>
        <w:rPr>
          <w:rFonts w:hint="default" w:ascii="Times New Roman" w:hAnsi="Times New Roman" w:cs="Times New Roman"/>
          <w:sz w:val="28"/>
          <w:szCs w:val="28"/>
        </w:rPr>
        <w:t xml:space="preserve">, announcing that a </w:t>
      </w:r>
      <w:r>
        <w:rPr>
          <w:rStyle w:val="11"/>
          <w:rFonts w:hint="default" w:ascii="Times New Roman" w:hAnsi="Times New Roman" w:cs="Times New Roman"/>
          <w:sz w:val="28"/>
          <w:szCs w:val="28"/>
        </w:rPr>
        <w:t>Comprehensive Safety Audit</w:t>
      </w:r>
      <w:r>
        <w:rPr>
          <w:rFonts w:hint="default" w:ascii="Times New Roman" w:hAnsi="Times New Roman" w:cs="Times New Roman"/>
          <w:sz w:val="28"/>
          <w:szCs w:val="28"/>
        </w:rPr>
        <w:t xml:space="preserve"> will be conducted by the District Disaster Management Authority (DDMA) in the district soon. She also thanked all participants and agencies for their commitment to disaster readiness.</w:t>
      </w:r>
    </w:p>
    <w:p w14:paraId="72EF8339">
      <w:pPr>
        <w:pStyle w:val="10"/>
        <w:keepNext w:val="0"/>
        <w:keepLines w:val="0"/>
        <w:widowControl/>
        <w:suppressLineNumbers w:val="0"/>
        <w:spacing w:before="0" w:beforeAutospacing="1" w:after="0" w:afterAutospacing="1" w:line="360" w:lineRule="auto"/>
        <w:ind w:left="0" w:right="0"/>
        <w:jc w:val="both"/>
        <w:rPr>
          <w:rFonts w:hint="default" w:ascii="Times New Roman" w:hAnsi="Times New Roman" w:eastAsia="Times New Roman" w:cs="Times New Roman"/>
          <w:b/>
          <w:bCs/>
          <w:sz w:val="28"/>
          <w:szCs w:val="28"/>
          <w:lang w:val="en-IN"/>
        </w:rPr>
      </w:pPr>
      <w:r>
        <w:rPr>
          <w:rFonts w:hint="default" w:ascii="Times New Roman" w:hAnsi="Times New Roman" w:cs="Times New Roman"/>
          <w:sz w:val="28"/>
          <w:szCs w:val="28"/>
          <w:lang w:val="en-IN"/>
        </w:rPr>
        <w:drawing>
          <wp:inline distT="0" distB="0" distL="114300" distR="114300">
            <wp:extent cx="2812415" cy="1583690"/>
            <wp:effectExtent l="0" t="0" r="6985" b="1270"/>
            <wp:docPr id="6" name="Picture 6" descr="100013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00131576"/>
                    <pic:cNvPicPr>
                      <a:picLocks noChangeAspect="1"/>
                    </pic:cNvPicPr>
                  </pic:nvPicPr>
                  <pic:blipFill>
                    <a:blip r:embed="rId6"/>
                    <a:stretch>
                      <a:fillRect/>
                    </a:stretch>
                  </pic:blipFill>
                  <pic:spPr>
                    <a:xfrm>
                      <a:off x="0" y="0"/>
                      <a:ext cx="2812415" cy="1583690"/>
                    </a:xfrm>
                    <a:prstGeom prst="rect">
                      <a:avLst/>
                    </a:prstGeom>
                  </pic:spPr>
                </pic:pic>
              </a:graphicData>
            </a:graphic>
          </wp:inline>
        </w:drawing>
      </w:r>
      <w:r>
        <w:rPr>
          <w:rFonts w:hint="default" w:ascii="Times New Roman" w:hAnsi="Times New Roman" w:cs="Times New Roman"/>
          <w:sz w:val="28"/>
          <w:szCs w:val="28"/>
          <w:lang w:val="en-IN"/>
        </w:rPr>
        <w:drawing>
          <wp:inline distT="0" distB="0" distL="114300" distR="114300">
            <wp:extent cx="2828925" cy="1592580"/>
            <wp:effectExtent l="0" t="0" r="5715" b="7620"/>
            <wp:docPr id="3" name="Picture 3" descr="100013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00131730"/>
                    <pic:cNvPicPr>
                      <a:picLocks noChangeAspect="1"/>
                    </pic:cNvPicPr>
                  </pic:nvPicPr>
                  <pic:blipFill>
                    <a:blip r:embed="rId7"/>
                    <a:stretch>
                      <a:fillRect/>
                    </a:stretch>
                  </pic:blipFill>
                  <pic:spPr>
                    <a:xfrm>
                      <a:off x="0" y="0"/>
                      <a:ext cx="2828925" cy="1592580"/>
                    </a:xfrm>
                    <a:prstGeom prst="rect">
                      <a:avLst/>
                    </a:prstGeom>
                  </pic:spPr>
                </pic:pic>
              </a:graphicData>
            </a:graphic>
          </wp:inline>
        </w:drawing>
      </w:r>
      <w:r>
        <w:rPr>
          <w:rFonts w:hint="default" w:cs="Times New Roman"/>
          <w:sz w:val="28"/>
          <w:szCs w:val="28"/>
          <w:lang w:val="en-IN"/>
        </w:rPr>
        <w:t xml:space="preserve"> </w:t>
      </w:r>
      <w:r>
        <w:rPr>
          <w:rFonts w:hint="default" w:ascii="Times New Roman" w:hAnsi="Times New Roman" w:cs="Times New Roman"/>
          <w:sz w:val="28"/>
          <w:szCs w:val="28"/>
          <w:lang w:val="en-IN"/>
        </w:rPr>
        <w:drawing>
          <wp:inline distT="0" distB="0" distL="114300" distR="114300">
            <wp:extent cx="5670550" cy="3193415"/>
            <wp:effectExtent l="0" t="0" r="13970" b="6985"/>
            <wp:docPr id="2" name="Picture 2" descr="100013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00131762"/>
                    <pic:cNvPicPr>
                      <a:picLocks noChangeAspect="1"/>
                    </pic:cNvPicPr>
                  </pic:nvPicPr>
                  <pic:blipFill>
                    <a:blip r:embed="rId8"/>
                    <a:stretch>
                      <a:fillRect/>
                    </a:stretch>
                  </pic:blipFill>
                  <pic:spPr>
                    <a:xfrm>
                      <a:off x="0" y="0"/>
                      <a:ext cx="5670550" cy="3193415"/>
                    </a:xfrm>
                    <a:prstGeom prst="rect">
                      <a:avLst/>
                    </a:prstGeom>
                  </pic:spPr>
                </pic:pic>
              </a:graphicData>
            </a:graphic>
          </wp:inline>
        </w:drawing>
      </w:r>
      <w:bookmarkStart w:id="0" w:name="_GoBack"/>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Microsoft Sans Serif">
    <w:panose1 w:val="020B0604020202020204"/>
    <w:charset w:val="00"/>
    <w:family w:val="auto"/>
    <w:pitch w:val="default"/>
    <w:sig w:usb0="E5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9"/>
    </w:pPr>
  </w:p>
  <w:p w14:paraId="21649907">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650F85"/>
    <w:multiLevelType w:val="multilevel"/>
    <w:tmpl w:val="56650F8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7C89E804"/>
    <w:multiLevelType w:val="multilevel"/>
    <w:tmpl w:val="7C89E80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14CE3D87"/>
    <w:rsid w:val="1CC6021C"/>
    <w:rsid w:val="37313783"/>
    <w:rsid w:val="38922D5C"/>
    <w:rsid w:val="3998384E"/>
    <w:rsid w:val="447077AD"/>
    <w:rsid w:val="46115CF7"/>
    <w:rsid w:val="4D5C273D"/>
    <w:rsid w:val="4EB15BC3"/>
    <w:rsid w:val="6E4618B1"/>
    <w:rsid w:val="70373E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9"/>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footer"/>
    <w:basedOn w:val="1"/>
    <w:link w:val="13"/>
    <w:unhideWhenUsed/>
    <w:qFormat/>
    <w:uiPriority w:val="99"/>
    <w:pPr>
      <w:tabs>
        <w:tab w:val="center" w:pos="4513"/>
        <w:tab w:val="right" w:pos="9026"/>
      </w:tabs>
    </w:pPr>
  </w:style>
  <w:style w:type="paragraph" w:styleId="9">
    <w:name w:val="header"/>
    <w:basedOn w:val="1"/>
    <w:link w:val="12"/>
    <w:unhideWhenUsed/>
    <w:qFormat/>
    <w:uiPriority w:val="99"/>
    <w:pPr>
      <w:tabs>
        <w:tab w:val="center" w:pos="4513"/>
        <w:tab w:val="right" w:pos="9026"/>
      </w:tabs>
    </w:pPr>
  </w:style>
  <w:style w:type="paragraph" w:styleId="10">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1">
    <w:name w:val="Strong"/>
    <w:basedOn w:val="5"/>
    <w:qFormat/>
    <w:uiPriority w:val="22"/>
    <w:rPr>
      <w:b/>
      <w:bCs/>
    </w:rPr>
  </w:style>
  <w:style w:type="character" w:customStyle="1" w:styleId="12">
    <w:name w:val="Header Char"/>
    <w:basedOn w:val="5"/>
    <w:link w:val="9"/>
    <w:qFormat/>
    <w:uiPriority w:val="99"/>
  </w:style>
  <w:style w:type="character" w:customStyle="1" w:styleId="13">
    <w:name w:val="Footer Char"/>
    <w:basedOn w:val="5"/>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477</Words>
  <Characters>2721</Characters>
  <Lines>22</Lines>
  <Paragraphs>6</Paragraphs>
  <TotalTime>1</TotalTime>
  <ScaleCrop>false</ScaleCrop>
  <LinksUpToDate>false</LinksUpToDate>
  <CharactersWithSpaces>3192</CharactersWithSpaces>
  <Application>WPS Office_12.2.0.21936_F1E327BC-269C-435d-A152-05C5408002CA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2025-07-30T07:34:53Z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18F981C7DF0845008E37207B8250C39F_13</vt:lpwstr>
  </property>
</Properties>
</file>