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25th, 2025</w:t>
      </w:r>
    </w:p>
    <w:p w14:paraId="2E45A9B3">
      <w:pPr>
        <w:jc w:val="right"/>
        <w:rPr>
          <w:rFonts w:hint="default" w:ascii="Times New Roman" w:hAnsi="Times New Roman" w:cs="Times New Roman"/>
          <w:b/>
          <w:bCs/>
          <w:sz w:val="28"/>
          <w:szCs w:val="28"/>
          <w:lang w:val="en-GB"/>
        </w:rPr>
      </w:pPr>
    </w:p>
    <w:p w14:paraId="754687FA">
      <w:pPr>
        <w:keepNext w:val="0"/>
        <w:keepLines w:val="0"/>
        <w:widowControl/>
        <w:suppressLineNumbers w:val="0"/>
        <w:shd w:val="clear" w:fill="FFFFFF"/>
        <w:spacing w:before="0" w:beforeAutospacing="0" w:after="0" w:afterAutospacing="0" w:line="240" w:lineRule="auto"/>
        <w:ind w:left="0" w:right="0" w:firstLine="0"/>
        <w:jc w:val="center"/>
        <w:rPr>
          <w:rFonts w:hint="default" w:ascii="Times New Roman" w:hAnsi="Times New Roman" w:cs="Times New Roman"/>
          <w:b/>
          <w:bCs/>
          <w:sz w:val="28"/>
          <w:szCs w:val="28"/>
          <w:lang w:val="en-GB"/>
        </w:rPr>
      </w:pPr>
      <w:r>
        <w:rPr>
          <w:rFonts w:hint="default" w:ascii="Times New Roman" w:hAnsi="Times New Roman" w:cs="Times New Roman" w:eastAsiaTheme="minorHAnsi"/>
          <w:b/>
          <w:bCs/>
          <w:i w:val="0"/>
          <w:iCs w:val="0"/>
          <w:caps w:val="0"/>
          <w:color w:val="222222"/>
          <w:spacing w:val="0"/>
          <w:kern w:val="0"/>
          <w:sz w:val="32"/>
          <w:szCs w:val="32"/>
          <w:shd w:val="clear" w:fill="FFFFFF"/>
          <w:lang w:val="en-US" w:eastAsia="zh-CN" w:bidi="ar"/>
          <w14:ligatures w14:val="standardContextual"/>
        </w:rPr>
        <w:t>Governor inaugurates two-day Higher and Technical Education Conference</w:t>
      </w:r>
      <w:r>
        <w:rPr>
          <w:rFonts w:hint="default" w:ascii="Times New Roman" w:hAnsi="Times New Roman" w:cs="Times New Roman"/>
          <w:b/>
          <w:bCs/>
          <w:sz w:val="32"/>
          <w:szCs w:val="32"/>
          <w:lang w:val="en-US"/>
        </w:rPr>
        <w:br w:type="textWrapping"/>
      </w:r>
      <w:r>
        <w:rPr>
          <w:rFonts w:hint="default" w:ascii="Times New Roman" w:hAnsi="Times New Roman" w:eastAsia="SimSun" w:cs="Times New Roman"/>
          <w:b/>
          <w:bCs/>
          <w:sz w:val="32"/>
          <w:szCs w:val="32"/>
        </w:rPr>
        <w:br w:type="textWrapping"/>
      </w:r>
      <w:r>
        <w:rPr>
          <w:rFonts w:hint="default" w:ascii="Times New Roman" w:hAnsi="Times New Roman" w:cs="Times New Roman"/>
          <w:b/>
          <w:bCs/>
          <w:sz w:val="28"/>
          <w:szCs w:val="28"/>
          <w:lang w:val="en-GB"/>
        </w:rPr>
        <w:drawing>
          <wp:inline distT="0" distB="0" distL="114300" distR="114300">
            <wp:extent cx="5777230" cy="1620520"/>
            <wp:effectExtent l="0" t="0" r="13970" b="10160"/>
            <wp:docPr id="18" name="Picture 18" descr="250325 b Higher Education Conferenc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250325 b Higher Education Conference (1)"/>
                    <pic:cNvPicPr>
                      <a:picLocks noChangeAspect="1"/>
                    </pic:cNvPicPr>
                  </pic:nvPicPr>
                  <pic:blipFill>
                    <a:blip r:embed="rId5"/>
                    <a:stretch>
                      <a:fillRect/>
                    </a:stretch>
                  </pic:blipFill>
                  <pic:spPr>
                    <a:xfrm>
                      <a:off x="0" y="0"/>
                      <a:ext cx="5777230" cy="1620520"/>
                    </a:xfrm>
                    <a:prstGeom prst="rect">
                      <a:avLst/>
                    </a:prstGeom>
                  </pic:spPr>
                </pic:pic>
              </a:graphicData>
            </a:graphic>
          </wp:inline>
        </w:drawing>
      </w:r>
    </w:p>
    <w:p w14:paraId="2155F218">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4"/>
          <w:szCs w:val="24"/>
          <w:shd w:val="clear" w:fill="FFFFFF"/>
          <w:lang w:val="en-US" w:eastAsia="zh-CN" w:bidi="ar"/>
          <w14:ligatures w14:val="standardContextual"/>
        </w:rPr>
        <w:br w:type="textWrapping"/>
      </w: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Governor emphasizes the role of educational institutions in preparing students not only for the workforce but also for leadership roles by equipping them with knowledge, skills, and an innovation-driven mindset.</w:t>
      </w:r>
    </w:p>
    <w:p w14:paraId="5729728E">
      <w:pPr>
        <w:keepNext w:val="0"/>
        <w:keepLines w:val="0"/>
        <w:widowControl/>
        <w:suppressLineNumbers w:val="0"/>
        <w:shd w:val="clear" w:fill="FFFFFF"/>
        <w:spacing w:before="0" w:beforeAutospacing="0" w:after="0" w:afterAutospacing="0" w:line="360" w:lineRule="auto"/>
        <w:ind w:left="0" w:right="0" w:firstLine="0"/>
        <w:jc w:val="left"/>
        <w:rPr>
          <w:rFonts w:hint="default" w:ascii="Times New Roman" w:hAnsi="Times New Roman" w:cs="Times New Roman"/>
          <w:b w:val="0"/>
          <w:bCs w:val="0"/>
          <w:i w:val="0"/>
          <w:iCs w:val="0"/>
          <w:caps w:val="0"/>
          <w:color w:val="222222"/>
          <w:spacing w:val="0"/>
          <w:sz w:val="28"/>
          <w:szCs w:val="28"/>
        </w:rPr>
      </w:pPr>
    </w:p>
    <w:p w14:paraId="6F4715DB">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left"/>
        <w:rPr>
          <w:rFonts w:hint="default" w:ascii="Arial" w:hAnsi="Arial" w:cs="Arial"/>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Governor emphasizes the transformative impact of the National Education Policy (NEP) 2020</w:t>
      </w:r>
    </w:p>
    <w:p w14:paraId="4E09E6E7">
      <w:pPr>
        <w:keepNext w:val="0"/>
        <w:keepLines w:val="0"/>
        <w:widowControl/>
        <w:suppressLineNumbers w:val="0"/>
        <w:shd w:val="clear" w:fill="FFFFFF"/>
        <w:spacing w:before="0" w:beforeAutospacing="0" w:after="0" w:afterAutospacing="0" w:line="240" w:lineRule="auto"/>
        <w:ind w:left="0" w:right="0" w:firstLine="0"/>
        <w:jc w:val="center"/>
        <w:rPr>
          <w:rFonts w:hint="default" w:ascii="Times New Roman" w:hAnsi="Times New Roman" w:cs="Times New Roman"/>
          <w:b/>
          <w:bCs/>
          <w:sz w:val="28"/>
          <w:szCs w:val="28"/>
          <w:lang w:val="en-GB"/>
        </w:rPr>
      </w:pPr>
    </w:p>
    <w:p w14:paraId="6E032EB0">
      <w:pPr>
        <w:jc w:val="center"/>
        <w:rPr>
          <w:rFonts w:hint="default" w:ascii="Times New Roman" w:hAnsi="Times New Roman" w:cs="Times New Roman"/>
          <w:b/>
          <w:bCs/>
          <w:sz w:val="28"/>
          <w:szCs w:val="28"/>
          <w:lang w:val="en-GB"/>
        </w:rPr>
      </w:pPr>
    </w:p>
    <w:p w14:paraId="6EE6ECCE">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of Arunachal Pradesh Lt. General KT Parnaik, PVSM, UYSM, YSM (Retd.) inaugurated the 22</w:t>
      </w:r>
      <w:r>
        <w:rPr>
          <w:rFonts w:hint="default" w:ascii="Times New Roman" w:hAnsi="Times New Roman" w:cs="Times New Roman" w:eastAsiaTheme="minorHAnsi"/>
          <w:kern w:val="0"/>
          <w:sz w:val="28"/>
          <w:szCs w:val="28"/>
          <w:vertAlign w:val="superscript"/>
          <w:lang w:val="en-US" w:eastAsia="zh-CN" w:bidi="ar"/>
          <w14:ligatures w14:val="standardContextual"/>
        </w:rPr>
        <w:t>nd</w:t>
      </w:r>
      <w:r>
        <w:rPr>
          <w:rFonts w:hint="default" w:ascii="Times New Roman" w:hAnsi="Times New Roman" w:cs="Times New Roman" w:eastAsiaTheme="minorHAnsi"/>
          <w:kern w:val="0"/>
          <w:sz w:val="28"/>
          <w:szCs w:val="28"/>
          <w:lang w:val="en-US" w:eastAsia="zh-CN" w:bidi="ar"/>
          <w14:ligatures w14:val="standardContextual"/>
        </w:rPr>
        <w:t> Higher and Technical Education Conference at Itanagar on 25</w:t>
      </w:r>
      <w:r>
        <w:rPr>
          <w:rFonts w:hint="default" w:ascii="Times New Roman" w:hAnsi="Times New Roman" w:cs="Times New Roman" w:eastAsiaTheme="minorHAnsi"/>
          <w:kern w:val="0"/>
          <w:sz w:val="28"/>
          <w:szCs w:val="28"/>
          <w:vertAlign w:val="superscript"/>
          <w:lang w:val="en-US" w:eastAsia="zh-CN" w:bidi="ar"/>
          <w14:ligatures w14:val="standardContextual"/>
        </w:rPr>
        <w:t>th</w:t>
      </w:r>
      <w:r>
        <w:rPr>
          <w:rFonts w:hint="default" w:ascii="Times New Roman" w:hAnsi="Times New Roman" w:cs="Times New Roman" w:eastAsiaTheme="minorHAnsi"/>
          <w:kern w:val="0"/>
          <w:sz w:val="28"/>
          <w:szCs w:val="28"/>
          <w:lang w:val="en-US" w:eastAsia="zh-CN" w:bidi="ar"/>
          <w14:ligatures w14:val="standardContextual"/>
        </w:rPr>
        <w:t> March 2025. He felicitated two of the Pioneers of Higher Education in Arunachal Pradesh and conferred prestigious awards, including the Governor’s Award to undergraduate toppers of 2024, the Arunachal Pradesh State Council for Technical Education (APSCTE) Gold Medal to toppers of Government polytechnics, and the Outstanding College Teacher’s Awards during the inaugural function.</w:t>
      </w:r>
    </w:p>
    <w:p w14:paraId="4821456D">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In his address, the Governor underscored the increasing significance of higher and technical education in today's rapidly evolving world. He emphasized the role of educational institutions in preparing students not only for the workforce but also for leadership roles by equipping them with knowledge, skills, and an innovation-driven mindset.</w:t>
      </w:r>
    </w:p>
    <w:p w14:paraId="6869C2BC">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Highlighting the importance of the annual conference, the Governor noted that in an era of rapid technological advancements and shifting global demands, the event serves as a crucial platform for collaboration and innovation. The conference brings together educators, policymakers, industry leaders, researchers, and students to foster innovation in education, bridge academia-industry gaps, discuss policy development and reforms, encourage research and knowledge exchange, enhance professional development, and address emerging challenges through automation and artificial intelligence.</w:t>
      </w:r>
    </w:p>
    <w:p w14:paraId="6CA976A5">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Highlighting the future of higher and technical education, the Governor emphasized the transformative impact of the National Education Policy (NEP) 2020. He stated that NEP 2020 aims to reshape India’s education system by focusing on skill development, entrepreneurship, and practical knowledge. It promotes flexible curricula integrating academic and practical skills, encourages early-stage vocational education through internships, and enhances students' employability by focusing on critical thinking, problem-solving, digital literacy, and creativity.</w:t>
      </w:r>
    </w:p>
    <w:p w14:paraId="6D91AC0F">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further noted that NEP 2020 fosters entrepreneurship, promotes technology-driven learning, supports startups and innovation, and aligns with the Skill India Mission to bridge the gap between education and industry demands. He stressed that Arunachal Pradesh’s higher education sector stands at a pivotal moment, facing challenges but also possessing significant potential for growth. Strategic reforms and investments in infrastructure, digital learning, vocational education, and industry partnerships can create a robust educational ecosystem that empowers students and drives socio-economic development.</w:t>
      </w:r>
    </w:p>
    <w:p w14:paraId="76AFEC7F">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Expressing optimism for the future, the Governor emphasized that with continued support from the government, academic institutions, and private stakeholders, Arunachal Pradesh has the potential to emerge as a Centre of Excellence in higher and technical education, providing its youth with better opportunities for learning and career growth.</w:t>
      </w:r>
    </w:p>
    <w:p w14:paraId="5E27EFBD">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while complimenting the award winners urged them to aim for perfection in all spheres of life and settle for nothing short of excellence. He advised them to always lead with exemplary achievements and be a successful person.</w:t>
      </w:r>
    </w:p>
    <w:p w14:paraId="7042F9EB">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released two books, titled ‘Understanding Adolescents’ by Dr. Sukanta Kumar Pradhan and ‘General English for APPSC, APSSB, UPSC &amp; Other Competitive Examinations’ by M.Q. Khan and S.Khan, Principal, Dera Natung Government College, Itanagar and the ‘Basic Information of Higher Education’ Booklet, on the occasion.</w:t>
      </w:r>
    </w:p>
    <w:p w14:paraId="66BDB97E">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State Education Minister, Shri P. D. Sona, MLA cum Advisor to Minister Education, Shri Mutchu Mithi, Chief Secretary, Shri Manish Kumar Gupta, Commissioner Education, Shri Amjad Tak and Joint Secretary (Education) Ms Nyamgal Angmo also addressed the inaugural session of the conference. Director of Higher and Technical Education Dr. Milorai Modi and Dr. AK Mishra, SLO (NSS) gave an overview of the Higher Education scenario of the State.</w:t>
      </w:r>
    </w:p>
    <w:p w14:paraId="39ECA04C">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Vice Chancellors of Central, State and Private Universities, Directors of Higher &amp; Technical Education and educational institutions and deans, registrars, principals and members of the faculty of higher education institutes are attending the two-day conference.</w:t>
      </w:r>
    </w:p>
    <w:p w14:paraId="0281E94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Prof. Arup Kumar Das, former lecturer, JNC, Pasighat and Prof. of Botany, RGU, and Dr. Surya Pal Shukla, Former Principal, DN Govt. College Itanagar and Former Member, APPSC received the Pioneers Of Higher Education Award – 2024 award.</w:t>
      </w:r>
    </w:p>
    <w:p w14:paraId="7B5E9AA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Dr. Leki Sitang, Associate Professor (History) and Vice Principal, JNC, Pasighat and Dr. Sukanta Kumar Pradhan, Assistant Professor (Education) IGGC, Tezu received the Outstanding College Teachers Award-2024 Award.        </w:t>
      </w:r>
    </w:p>
    <w:p w14:paraId="7852581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Miss Simran Jaboju, B.Sc Zoology Dngc, Itanagar , Miss Jarbie Riba, B.A (Pol. Sc.) Donyi-Polo B. Ed. College, Bank Tinali, Itanagar and Miss Mummi Tekseng, B.Com Saint Claret College, Ziro received the Governor’s Award for undergraduate toppers of 2024 as Toppers of University Examination.</w:t>
      </w:r>
    </w:p>
    <w:p w14:paraId="78AA932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 xml:space="preserve">Shri Bomkar Murtem, Civil Engineering, Tomi Polytechnic College, Basar received the Arunachal Pradesh State Council for Technical Education (APSCTE) Gold Medal being the </w:t>
      </w:r>
      <w:r>
        <w:rPr>
          <w:rFonts w:hint="default" w:ascii="Times New Roman" w:hAnsi="Times New Roman" w:cs="Times New Roman" w:eastAsiaTheme="minorHAnsi"/>
          <w:kern w:val="0"/>
          <w:sz w:val="28"/>
          <w:szCs w:val="28"/>
          <w:lang w:val="en-US" w:eastAsia="zh-CN" w:bidi="ar"/>
          <w14:ligatures w14:val="standardContextual"/>
        </w:rPr>
        <w:t>topper of Government polytechnics  </w:t>
      </w:r>
    </w:p>
    <w:p w14:paraId="176AC54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Dr. Tashi Dorjee Megeji     Govt. College Bomdila, West Kameng District received the Best Nss Programme Officer Award-2024, while Saint Francis De Sales College, Aalo, West Siang District received the Best NSS Unit Award – 2024.         </w:t>
      </w:r>
    </w:p>
    <w:p w14:paraId="0B62C75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Shri Gomnia Rie, VKCTE, Nirjuli, Shri Mejet Mema and Shri Joseph Wangjen of WRGC, Deomali received the Best NSS Volunteer Award – 2024.</w:t>
      </w:r>
    </w:p>
    <w:p w14:paraId="03C71E6E">
      <w:pPr>
        <w:keepNext w:val="0"/>
        <w:keepLines w:val="0"/>
        <w:widowControl/>
        <w:suppressLineNumbers w:val="0"/>
        <w:spacing w:line="360" w:lineRule="auto"/>
        <w:jc w:val="left"/>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14:ligatures w14:val="standardContextual"/>
        </w:rPr>
        <w:t>Miss Sangey Choto Khrimey, Don Bosco College, Jollang, Itanagar and Shri Ojing Yao, Indira Gandhi Govt. College, Tezu received NSS Commendation Certificate – 2025 for participating in RD Parade New Delhi</w:t>
      </w:r>
    </w:p>
    <w:p w14:paraId="75758256">
      <w:pPr>
        <w:spacing w:line="360" w:lineRule="auto"/>
        <w:jc w:val="both"/>
        <w:rPr>
          <w:rFonts w:hint="default" w:ascii="Times New Roman" w:hAnsi="Times New Roman" w:eastAsia="SimSun" w:cs="Times New Roman"/>
          <w:b/>
          <w:bCs/>
          <w:sz w:val="28"/>
          <w:szCs w:val="28"/>
          <w:lang w:val="en-GB"/>
        </w:rPr>
      </w:pPr>
      <w:r>
        <w:rPr>
          <w:rFonts w:hint="default" w:ascii="Times New Roman" w:hAnsi="Times New Roman" w:eastAsia="SimSun" w:cs="Times New Roman"/>
          <w:b/>
          <w:bCs/>
          <w:sz w:val="28"/>
          <w:szCs w:val="28"/>
          <w:lang w:val="en-GB"/>
        </w:rPr>
        <w:drawing>
          <wp:inline distT="0" distB="0" distL="114300" distR="114300">
            <wp:extent cx="2825750" cy="2065655"/>
            <wp:effectExtent l="0" t="0" r="8890" b="6985"/>
            <wp:docPr id="26" name="Picture 26" descr="250325 b Higher Education Conferenc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250325 b Higher Education Conference (3)"/>
                    <pic:cNvPicPr>
                      <a:picLocks noChangeAspect="1"/>
                    </pic:cNvPicPr>
                  </pic:nvPicPr>
                  <pic:blipFill>
                    <a:blip r:embed="rId6"/>
                    <a:stretch>
                      <a:fillRect/>
                    </a:stretch>
                  </pic:blipFill>
                  <pic:spPr>
                    <a:xfrm>
                      <a:off x="0" y="0"/>
                      <a:ext cx="2825750" cy="2065655"/>
                    </a:xfrm>
                    <a:prstGeom prst="rect">
                      <a:avLst/>
                    </a:prstGeom>
                  </pic:spPr>
                </pic:pic>
              </a:graphicData>
            </a:graphic>
          </wp:inline>
        </w:drawing>
      </w:r>
      <w:r>
        <w:rPr>
          <w:rFonts w:hint="default" w:ascii="Times New Roman" w:hAnsi="Times New Roman" w:eastAsia="SimSun" w:cs="Times New Roman"/>
          <w:b/>
          <w:bCs/>
          <w:sz w:val="28"/>
          <w:szCs w:val="28"/>
          <w:lang w:val="en-GB"/>
        </w:rPr>
        <w:t xml:space="preserve"> </w:t>
      </w:r>
      <w:r>
        <w:rPr>
          <w:rFonts w:hint="default" w:ascii="Times New Roman" w:hAnsi="Times New Roman" w:eastAsia="SimSun" w:cs="Times New Roman"/>
          <w:b/>
          <w:bCs/>
          <w:sz w:val="28"/>
          <w:szCs w:val="28"/>
          <w:lang w:val="en-GB"/>
        </w:rPr>
        <w:drawing>
          <wp:inline distT="0" distB="0" distL="114300" distR="114300">
            <wp:extent cx="2499995" cy="2060575"/>
            <wp:effectExtent l="0" t="0" r="14605" b="12065"/>
            <wp:docPr id="25" name="Picture 25" descr="250325 b Higher Education Conferenc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250325 b Higher Education Conference (4)"/>
                    <pic:cNvPicPr>
                      <a:picLocks noChangeAspect="1"/>
                    </pic:cNvPicPr>
                  </pic:nvPicPr>
                  <pic:blipFill>
                    <a:blip r:embed="rId7"/>
                    <a:stretch>
                      <a:fillRect/>
                    </a:stretch>
                  </pic:blipFill>
                  <pic:spPr>
                    <a:xfrm>
                      <a:off x="0" y="0"/>
                      <a:ext cx="2499995" cy="2060575"/>
                    </a:xfrm>
                    <a:prstGeom prst="rect">
                      <a:avLst/>
                    </a:prstGeom>
                  </pic:spPr>
                </pic:pic>
              </a:graphicData>
            </a:graphic>
          </wp:inline>
        </w:drawing>
      </w:r>
      <w:r>
        <w:rPr>
          <w:rFonts w:hint="default" w:ascii="Times New Roman" w:hAnsi="Times New Roman" w:eastAsia="SimSun" w:cs="Times New Roman"/>
          <w:b/>
          <w:bCs/>
          <w:sz w:val="28"/>
          <w:szCs w:val="28"/>
          <w:lang w:val="en-GB"/>
        </w:rPr>
        <w:br w:type="textWrapping"/>
      </w:r>
      <w:r>
        <w:rPr>
          <w:rFonts w:hint="default" w:ascii="Times New Roman" w:hAnsi="Times New Roman" w:eastAsia="SimSun" w:cs="Times New Roman"/>
          <w:b/>
          <w:bCs/>
          <w:sz w:val="28"/>
          <w:szCs w:val="28"/>
          <w:lang w:val="en-GB"/>
        </w:rPr>
        <w:drawing>
          <wp:inline distT="0" distB="0" distL="114300" distR="114300">
            <wp:extent cx="2862580" cy="2790190"/>
            <wp:effectExtent l="0" t="0" r="2540" b="13970"/>
            <wp:docPr id="24" name="Picture 24" descr="250325 b Higher Education Conferenc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250325 b Higher Education Conference (6)"/>
                    <pic:cNvPicPr>
                      <a:picLocks noChangeAspect="1"/>
                    </pic:cNvPicPr>
                  </pic:nvPicPr>
                  <pic:blipFill>
                    <a:blip r:embed="rId8"/>
                    <a:stretch>
                      <a:fillRect/>
                    </a:stretch>
                  </pic:blipFill>
                  <pic:spPr>
                    <a:xfrm>
                      <a:off x="0" y="0"/>
                      <a:ext cx="2862580" cy="2790190"/>
                    </a:xfrm>
                    <a:prstGeom prst="rect">
                      <a:avLst/>
                    </a:prstGeom>
                  </pic:spPr>
                </pic:pic>
              </a:graphicData>
            </a:graphic>
          </wp:inline>
        </w:drawing>
      </w:r>
      <w:r>
        <w:rPr>
          <w:rFonts w:hint="default" w:ascii="Times New Roman" w:hAnsi="Times New Roman" w:eastAsia="SimSun" w:cs="Times New Roman"/>
          <w:b/>
          <w:bCs/>
          <w:sz w:val="28"/>
          <w:szCs w:val="28"/>
          <w:lang w:val="en-GB"/>
        </w:rPr>
        <w:t xml:space="preserve">  </w:t>
      </w:r>
      <w:r>
        <w:rPr>
          <w:rFonts w:hint="default" w:ascii="Times New Roman" w:hAnsi="Times New Roman" w:eastAsia="SimSun" w:cs="Times New Roman"/>
          <w:b/>
          <w:bCs/>
          <w:sz w:val="28"/>
          <w:szCs w:val="28"/>
          <w:lang w:val="en-GB"/>
        </w:rPr>
        <w:drawing>
          <wp:inline distT="0" distB="0" distL="114300" distR="114300">
            <wp:extent cx="2571115" cy="2790825"/>
            <wp:effectExtent l="0" t="0" r="4445" b="13335"/>
            <wp:docPr id="23" name="Picture 23" descr="250325 b Higher Education Conferenc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250325 b Higher Education Conference (7)"/>
                    <pic:cNvPicPr>
                      <a:picLocks noChangeAspect="1"/>
                    </pic:cNvPicPr>
                  </pic:nvPicPr>
                  <pic:blipFill>
                    <a:blip r:embed="rId9"/>
                    <a:stretch>
                      <a:fillRect/>
                    </a:stretch>
                  </pic:blipFill>
                  <pic:spPr>
                    <a:xfrm>
                      <a:off x="0" y="0"/>
                      <a:ext cx="2571115" cy="2790825"/>
                    </a:xfrm>
                    <a:prstGeom prst="rect">
                      <a:avLst/>
                    </a:prstGeom>
                  </pic:spPr>
                </pic:pic>
              </a:graphicData>
            </a:graphic>
          </wp:inline>
        </w:drawing>
      </w:r>
      <w:r>
        <w:rPr>
          <w:rFonts w:hint="default" w:ascii="Times New Roman" w:hAnsi="Times New Roman" w:eastAsia="SimSun" w:cs="Times New Roman"/>
          <w:b/>
          <w:bCs/>
          <w:sz w:val="28"/>
          <w:szCs w:val="28"/>
          <w:lang w:val="en-GB"/>
        </w:rPr>
        <w:br w:type="textWrapping"/>
      </w:r>
      <w:r>
        <w:rPr>
          <w:rFonts w:hint="default" w:ascii="Times New Roman" w:hAnsi="Times New Roman" w:eastAsia="SimSun" w:cs="Times New Roman"/>
          <w:b/>
          <w:bCs/>
          <w:sz w:val="28"/>
          <w:szCs w:val="28"/>
          <w:lang w:val="en-GB"/>
        </w:rPr>
        <w:drawing>
          <wp:inline distT="0" distB="0" distL="114300" distR="114300">
            <wp:extent cx="2464435" cy="1614805"/>
            <wp:effectExtent l="0" t="0" r="4445" b="635"/>
            <wp:docPr id="22" name="Picture 22" descr="250325 b Higher Education Conferenc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250325 b Higher Education Conference (8)"/>
                    <pic:cNvPicPr>
                      <a:picLocks noChangeAspect="1"/>
                    </pic:cNvPicPr>
                  </pic:nvPicPr>
                  <pic:blipFill>
                    <a:blip r:embed="rId10"/>
                    <a:stretch>
                      <a:fillRect/>
                    </a:stretch>
                  </pic:blipFill>
                  <pic:spPr>
                    <a:xfrm>
                      <a:off x="0" y="0"/>
                      <a:ext cx="2464435" cy="1614805"/>
                    </a:xfrm>
                    <a:prstGeom prst="rect">
                      <a:avLst/>
                    </a:prstGeom>
                  </pic:spPr>
                </pic:pic>
              </a:graphicData>
            </a:graphic>
          </wp:inline>
        </w:drawing>
      </w:r>
      <w:r>
        <w:rPr>
          <w:rFonts w:hint="default" w:ascii="Times New Roman" w:hAnsi="Times New Roman" w:eastAsia="SimSun" w:cs="Times New Roman"/>
          <w:b/>
          <w:bCs/>
          <w:sz w:val="28"/>
          <w:szCs w:val="28"/>
          <w:lang w:val="en-GB"/>
        </w:rPr>
        <w:t xml:space="preserve">  </w:t>
      </w:r>
      <w:r>
        <w:rPr>
          <w:rFonts w:hint="default" w:ascii="Times New Roman" w:hAnsi="Times New Roman" w:eastAsia="SimSun" w:cs="Times New Roman"/>
          <w:b/>
          <w:bCs/>
          <w:sz w:val="28"/>
          <w:szCs w:val="28"/>
          <w:lang w:val="en-GB"/>
        </w:rPr>
        <w:drawing>
          <wp:inline distT="0" distB="0" distL="114300" distR="114300">
            <wp:extent cx="3055620" cy="1616710"/>
            <wp:effectExtent l="0" t="0" r="7620" b="13970"/>
            <wp:docPr id="21" name="Picture 21" descr="250325 b Higher Education Conferenc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250325 b Higher Education Conference (9)"/>
                    <pic:cNvPicPr>
                      <a:picLocks noChangeAspect="1"/>
                    </pic:cNvPicPr>
                  </pic:nvPicPr>
                  <pic:blipFill>
                    <a:blip r:embed="rId11"/>
                    <a:stretch>
                      <a:fillRect/>
                    </a:stretch>
                  </pic:blipFill>
                  <pic:spPr>
                    <a:xfrm>
                      <a:off x="0" y="0"/>
                      <a:ext cx="3055620" cy="1616710"/>
                    </a:xfrm>
                    <a:prstGeom prst="rect">
                      <a:avLst/>
                    </a:prstGeom>
                  </pic:spPr>
                </pic:pic>
              </a:graphicData>
            </a:graphic>
          </wp:inline>
        </w:drawing>
      </w:r>
      <w:r>
        <w:rPr>
          <w:rFonts w:hint="default" w:ascii="Times New Roman" w:hAnsi="Times New Roman" w:eastAsia="SimSun" w:cs="Times New Roman"/>
          <w:b/>
          <w:bCs/>
          <w:sz w:val="28"/>
          <w:szCs w:val="28"/>
          <w:lang w:val="en-GB"/>
        </w:rPr>
        <w:br w:type="textWrapping"/>
      </w:r>
      <w:r>
        <w:rPr>
          <w:rFonts w:hint="default" w:ascii="Times New Roman" w:hAnsi="Times New Roman" w:eastAsia="SimSun" w:cs="Times New Roman"/>
          <w:b/>
          <w:bCs/>
          <w:sz w:val="28"/>
          <w:szCs w:val="28"/>
          <w:lang w:val="en-GB"/>
        </w:rPr>
        <w:drawing>
          <wp:inline distT="0" distB="0" distL="114300" distR="114300">
            <wp:extent cx="2322830" cy="1278890"/>
            <wp:effectExtent l="0" t="0" r="8890" b="1270"/>
            <wp:docPr id="20" name="Picture 20" descr="250325 b Higher Education Conferen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250325 b Higher Education Conference (10)"/>
                    <pic:cNvPicPr>
                      <a:picLocks noChangeAspect="1"/>
                    </pic:cNvPicPr>
                  </pic:nvPicPr>
                  <pic:blipFill>
                    <a:blip r:embed="rId12"/>
                    <a:stretch>
                      <a:fillRect/>
                    </a:stretch>
                  </pic:blipFill>
                  <pic:spPr>
                    <a:xfrm>
                      <a:off x="0" y="0"/>
                      <a:ext cx="2322830" cy="1278890"/>
                    </a:xfrm>
                    <a:prstGeom prst="rect">
                      <a:avLst/>
                    </a:prstGeom>
                  </pic:spPr>
                </pic:pic>
              </a:graphicData>
            </a:graphic>
          </wp:inline>
        </w:drawing>
      </w:r>
      <w:r>
        <w:rPr>
          <w:rFonts w:hint="default" w:ascii="Times New Roman" w:hAnsi="Times New Roman" w:eastAsia="SimSun" w:cs="Times New Roman"/>
          <w:b/>
          <w:bCs/>
          <w:sz w:val="28"/>
          <w:szCs w:val="28"/>
          <w:lang w:val="en-GB"/>
        </w:rPr>
        <w:t xml:space="preserve">  </w:t>
      </w:r>
      <w:r>
        <w:rPr>
          <w:rFonts w:hint="default" w:ascii="Times New Roman" w:hAnsi="Times New Roman" w:eastAsia="SimSun" w:cs="Times New Roman"/>
          <w:b/>
          <w:bCs/>
          <w:sz w:val="28"/>
          <w:szCs w:val="28"/>
          <w:lang w:val="en-GB"/>
        </w:rPr>
        <w:drawing>
          <wp:inline distT="0" distB="0" distL="114300" distR="114300">
            <wp:extent cx="2891155" cy="1279525"/>
            <wp:effectExtent l="0" t="0" r="4445" b="635"/>
            <wp:docPr id="19" name="Picture 19" descr="250325 b Higher Education Conferenc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250325 b Higher Education Conference (11)"/>
                    <pic:cNvPicPr>
                      <a:picLocks noChangeAspect="1"/>
                    </pic:cNvPicPr>
                  </pic:nvPicPr>
                  <pic:blipFill>
                    <a:blip r:embed="rId13"/>
                    <a:stretch>
                      <a:fillRect/>
                    </a:stretch>
                  </pic:blipFill>
                  <pic:spPr>
                    <a:xfrm>
                      <a:off x="0" y="0"/>
                      <a:ext cx="2891155" cy="1279525"/>
                    </a:xfrm>
                    <a:prstGeom prst="rect">
                      <a:avLst/>
                    </a:prstGeom>
                  </pic:spPr>
                </pic:pic>
              </a:graphicData>
            </a:graphic>
          </wp:inline>
        </w:drawing>
      </w: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Bahnschrift Light SemiCondensed">
    <w:panose1 w:val="020B0502040204020203"/>
    <w:charset w:val="00"/>
    <w:family w:val="auto"/>
    <w:pitch w:val="default"/>
    <w:sig w:usb0="A00002C7" w:usb1="00000002" w:usb2="00000000" w:usb3="00000000" w:csb0="2000019F" w:csb1="00000000"/>
  </w:font>
  <w:font w:name="Calibri Light">
    <w:panose1 w:val="020F0302020204030204"/>
    <w:charset w:val="00"/>
    <w:family w:val="auto"/>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8AB22"/>
    <w:multiLevelType w:val="singleLevel"/>
    <w:tmpl w:val="1E18AB22"/>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81B6E"/>
    <w:rsid w:val="005D44CC"/>
    <w:rsid w:val="006E2721"/>
    <w:rsid w:val="00AD5EF8"/>
    <w:rsid w:val="00B5216C"/>
    <w:rsid w:val="00B85186"/>
    <w:rsid w:val="00D50151"/>
    <w:rsid w:val="02E76B51"/>
    <w:rsid w:val="08257D6D"/>
    <w:rsid w:val="0CF436E8"/>
    <w:rsid w:val="0D8B56AB"/>
    <w:rsid w:val="0E3145EB"/>
    <w:rsid w:val="183B7ACD"/>
    <w:rsid w:val="198A4263"/>
    <w:rsid w:val="1D2C5A03"/>
    <w:rsid w:val="21412C8B"/>
    <w:rsid w:val="230A4D46"/>
    <w:rsid w:val="23823613"/>
    <w:rsid w:val="25A12702"/>
    <w:rsid w:val="2D0A07F1"/>
    <w:rsid w:val="2F9F78B1"/>
    <w:rsid w:val="340145E2"/>
    <w:rsid w:val="372A777A"/>
    <w:rsid w:val="38922D5C"/>
    <w:rsid w:val="3998384E"/>
    <w:rsid w:val="39C5370B"/>
    <w:rsid w:val="401B2838"/>
    <w:rsid w:val="42C15095"/>
    <w:rsid w:val="43031204"/>
    <w:rsid w:val="46115CF7"/>
    <w:rsid w:val="49EC5A88"/>
    <w:rsid w:val="4D1E2857"/>
    <w:rsid w:val="4D5C273D"/>
    <w:rsid w:val="4E5E3A63"/>
    <w:rsid w:val="4EB15BC3"/>
    <w:rsid w:val="4F6A153B"/>
    <w:rsid w:val="57A25CD3"/>
    <w:rsid w:val="5D4A328A"/>
    <w:rsid w:val="6E4618B1"/>
    <w:rsid w:val="6ED616E4"/>
    <w:rsid w:val="70373EF0"/>
    <w:rsid w:val="71F31558"/>
    <w:rsid w:val="72BE454D"/>
    <w:rsid w:val="74E3196E"/>
    <w:rsid w:val="7D1972FD"/>
    <w:rsid w:val="7D2D58D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widowControl w:val="0"/>
      <w:autoSpaceDE w:val="0"/>
      <w:autoSpaceDN w:val="0"/>
      <w:spacing w:before="1" w:after="0" w:line="240" w:lineRule="auto"/>
      <w:ind w:left="23"/>
      <w:jc w:val="both"/>
    </w:pPr>
    <w:rPr>
      <w:rFonts w:ascii="Cambria" w:hAnsi="Cambria" w:eastAsia="Cambria" w:cs="Cambria"/>
      <w:sz w:val="24"/>
      <w:szCs w:val="24"/>
    </w:rPr>
  </w:style>
  <w:style w:type="paragraph" w:styleId="6">
    <w:name w:val="footer"/>
    <w:basedOn w:val="1"/>
    <w:link w:val="11"/>
    <w:unhideWhenUsed/>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3"/>
    <w:qFormat/>
    <w:uiPriority w:val="22"/>
    <w:rPr>
      <w:b/>
      <w:bCs/>
    </w:rPr>
  </w:style>
  <w:style w:type="character" w:customStyle="1" w:styleId="10">
    <w:name w:val="Header Char"/>
    <w:basedOn w:val="3"/>
    <w:link w:val="7"/>
    <w:qFormat/>
    <w:uiPriority w:val="99"/>
  </w:style>
  <w:style w:type="character" w:customStyle="1" w:styleId="11">
    <w:name w:val="Footer Char"/>
    <w:basedOn w:val="3"/>
    <w:link w:val="6"/>
    <w:qFormat/>
    <w:uiPriority w:val="99"/>
  </w:style>
  <w:style w:type="paragraph" w:styleId="12">
    <w:name w:val="No Spacing"/>
    <w:qFormat/>
    <w:uiPriority w:val="1"/>
    <w:pPr>
      <w:spacing w:after="0" w:line="240" w:lineRule="auto"/>
    </w:pPr>
    <w:rPr>
      <w:rFonts w:asciiTheme="minorHAnsi" w:hAnsiTheme="minorHAnsi" w:eastAsiaTheme="minorHAnsi" w:cstheme="minorBidi"/>
      <w:kern w:val="2"/>
      <w:sz w:val="24"/>
      <w:szCs w:val="24"/>
      <w:lang w:val="en-IN"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477</Words>
  <Characters>2721</Characters>
  <Lines>22</Lines>
  <Paragraphs>6</Paragraphs>
  <TotalTime>6</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2025-03-27T07:09:25Z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ICV" pid="2">
    <vt:lpwstr>D5027A1A36634BA5ABEC21E333C77F4B_13</vt:lpwstr>
  </property>
  <property fmtid="{D5CDD505-2E9C-101B-9397-08002B2CF9AE}" name="KSOProductBuildVer" pid="3">
    <vt:lpwstr>2057-12.2.0.20348</vt:lpwstr>
  </property>
  <property fmtid="{D5CDD505-2E9C-101B-9397-08002B2CF9AE}" name="NXPowerLiteLastOptimized" pid="4">
    <vt:lpwstr>253896</vt:lpwstr>
  </property>
  <property fmtid="{D5CDD505-2E9C-101B-9397-08002B2CF9AE}" name="NXPowerLiteSettings" pid="5">
    <vt:lpwstr>C7000400038000</vt:lpwstr>
  </property>
  <property fmtid="{D5CDD505-2E9C-101B-9397-08002B2CF9AE}" name="NXPowerLiteVersion" pid="6">
    <vt:lpwstr>S10.3.1</vt:lpwstr>
  </property>
</Properties>
</file>